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5919EF7C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4777A73C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5FEF21" wp14:editId="1C658401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545771ED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BA75BA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4143383D" w14:textId="77777777" w:rsidR="00F62EC3" w:rsidRPr="00D43B0B" w:rsidRDefault="007A7F61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4391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50468FED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530551C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E1ED7B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75961052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3E0C480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3C83F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0259BCFB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18FD085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3E34958B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4FC2CD9B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47B3A799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17E30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4864700D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7F5688CC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35CB03FA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502B8195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885"/>
        <w:gridCol w:w="270"/>
        <w:gridCol w:w="3293"/>
        <w:gridCol w:w="945"/>
        <w:gridCol w:w="50"/>
        <w:gridCol w:w="542"/>
        <w:gridCol w:w="369"/>
      </w:tblGrid>
      <w:tr w:rsidR="00BB3B12" w14:paraId="31BE68EC" w14:textId="77777777" w:rsidTr="0069247F">
        <w:trPr>
          <w:trHeight w:hRule="exact" w:val="1296"/>
        </w:trPr>
        <w:tc>
          <w:tcPr>
            <w:tcW w:w="10805" w:type="dxa"/>
            <w:gridSpan w:val="8"/>
            <w:vAlign w:val="center"/>
          </w:tcPr>
          <w:p w14:paraId="30170952" w14:textId="77777777" w:rsidR="0072197F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4AB9">
              <w:rPr>
                <w:rFonts w:ascii="Arial" w:hAnsi="Arial" w:cs="Arial"/>
                <w:b/>
                <w:sz w:val="28"/>
                <w:szCs w:val="28"/>
              </w:rPr>
              <w:t xml:space="preserve">ADDED ACTIVITIES FOR </w:t>
            </w:r>
            <w:r w:rsidR="0072197F">
              <w:rPr>
                <w:rFonts w:ascii="Arial" w:hAnsi="Arial" w:cs="Arial"/>
                <w:b/>
                <w:sz w:val="28"/>
                <w:szCs w:val="28"/>
              </w:rPr>
              <w:t xml:space="preserve">SPIRIT/BEER/WINE RESTAURANT OR </w:t>
            </w:r>
          </w:p>
          <w:p w14:paraId="7ECD609B" w14:textId="77777777" w:rsidR="00413664" w:rsidRDefault="0072197F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RESTRICTED – NOT SERVING THE GENERAL PUBLIC</w:t>
            </w:r>
          </w:p>
          <w:p w14:paraId="28002800" w14:textId="77777777" w:rsidR="00413664" w:rsidRPr="00EA4AB6" w:rsidRDefault="00413664" w:rsidP="00EA4AB6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EA4AB6">
              <w:rPr>
                <w:rFonts w:ascii="Arial" w:hAnsi="Arial" w:cs="Arial"/>
                <w:i/>
                <w:sz w:val="20"/>
                <w:szCs w:val="20"/>
              </w:rPr>
              <w:t>answer all questions below</w:t>
            </w:r>
            <w:r w:rsidRPr="00EA4AB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90B4E0F" w14:textId="77777777" w:rsidR="00413664" w:rsidRPr="00413664" w:rsidRDefault="00413664" w:rsidP="005D7B15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5D7B15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EA4AB6" w14:paraId="59586745" w14:textId="77777777" w:rsidTr="0069247F">
        <w:trPr>
          <w:trHeight w:hRule="exact" w:val="115"/>
        </w:trPr>
        <w:tc>
          <w:tcPr>
            <w:tcW w:w="10805" w:type="dxa"/>
            <w:gridSpan w:val="8"/>
            <w:vAlign w:val="center"/>
          </w:tcPr>
          <w:p w14:paraId="70CBE68B" w14:textId="77777777" w:rsidR="00EA4AB6" w:rsidRPr="007C4AB9" w:rsidRDefault="00EA4AB6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14:paraId="266C6DC0" w14:textId="77777777" w:rsidTr="00EA4AB6">
        <w:trPr>
          <w:trHeight w:val="346"/>
        </w:trPr>
        <w:tc>
          <w:tcPr>
            <w:tcW w:w="108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7E96D0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2D663958" w14:textId="77777777" w:rsidTr="00EA4AB6">
        <w:trPr>
          <w:trHeight w:hRule="exact" w:val="115"/>
        </w:trPr>
        <w:tc>
          <w:tcPr>
            <w:tcW w:w="10805" w:type="dxa"/>
            <w:gridSpan w:val="8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BB1D77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7F" w:rsidRPr="007226AC" w14:paraId="3C5E4E85" w14:textId="77777777" w:rsidTr="008F7C2B">
        <w:trPr>
          <w:trHeight w:val="720"/>
        </w:trPr>
        <w:tc>
          <w:tcPr>
            <w:tcW w:w="890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B2BA03" w14:textId="77777777" w:rsidR="0069247F" w:rsidRPr="007226AC" w:rsidRDefault="0069247F" w:rsidP="0069247F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226AC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7496E525" w14:textId="77777777" w:rsidR="0069247F" w:rsidRPr="007226AC" w:rsidRDefault="0069247F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26AC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5BE1B766" w14:textId="77777777" w:rsidR="0069247F" w:rsidRPr="007226AC" w:rsidRDefault="0069247F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226AC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45A0BD" w14:textId="77777777" w:rsidR="0069247F" w:rsidRPr="007226AC" w:rsidRDefault="0069247F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6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3466F2" w14:textId="77777777" w:rsidR="0069247F" w:rsidRPr="007226AC" w:rsidRDefault="0069247F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6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26AC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9247F" w:rsidRPr="00C26242" w14:paraId="0BB4318D" w14:textId="77777777" w:rsidTr="008F7C2B">
        <w:trPr>
          <w:trHeight w:val="720"/>
        </w:trPr>
        <w:tc>
          <w:tcPr>
            <w:tcW w:w="10805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F720DB" w14:textId="77777777" w:rsidR="0069247F" w:rsidRPr="00C26242" w:rsidRDefault="0069247F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226AC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7226AC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7226AC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7226AC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7226AC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9" w:history="1">
              <w:r w:rsidRPr="007226AC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7226AC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62B84FFE" w14:textId="77777777" w:rsidTr="00EA4AB6">
        <w:trPr>
          <w:trHeight w:val="1008"/>
        </w:trPr>
        <w:tc>
          <w:tcPr>
            <w:tcW w:w="8899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DDA659" w14:textId="77777777" w:rsid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Bowling Concourse Service</w:t>
            </w:r>
          </w:p>
          <w:p w14:paraId="444359AE" w14:textId="77777777" w:rsid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RCW </w:t>
            </w:r>
            <w:hyperlink r:id="rId10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66.24.455</w:t>
              </w:r>
            </w:hyperlink>
          </w:p>
          <w:p w14:paraId="66D44EA3" w14:textId="77777777" w:rsidR="00D42FDE" w:rsidRP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Allows you to serve alcohol in the bowling concourse area.  You must have leasehold rights to the concourse property.</w:t>
            </w:r>
          </w:p>
        </w:tc>
        <w:tc>
          <w:tcPr>
            <w:tcW w:w="945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D9A8AA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87FB7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3B5" w14:paraId="339C3D0C" w14:textId="77777777" w:rsidTr="00EA4AB6">
        <w:trPr>
          <w:trHeight w:val="864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E1AC2C" w14:textId="77777777" w:rsidR="009613B5" w:rsidRP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b/>
                <w:sz w:val="20"/>
                <w:szCs w:val="20"/>
              </w:rPr>
              <w:t>Central Warehouse for Wine</w:t>
            </w:r>
          </w:p>
          <w:p w14:paraId="1396F937" w14:textId="77777777" w:rsidR="009613B5" w:rsidRDefault="009613B5" w:rsidP="009613B5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21E375AB" w14:textId="77777777" w:rsidR="008B606B" w:rsidRPr="008B606B" w:rsidRDefault="008B606B" w:rsidP="009613B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5EDED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25578C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72B07F4F" w14:textId="77777777" w:rsidTr="00EA4AB6">
        <w:trPr>
          <w:trHeight w:val="864"/>
        </w:trPr>
        <w:tc>
          <w:tcPr>
            <w:tcW w:w="8899" w:type="dxa"/>
            <w:gridSpan w:val="4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DECF21" w14:textId="77777777" w:rsidR="00EB619E" w:rsidRPr="003E33E2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Spirits</w:t>
            </w:r>
          </w:p>
          <w:p w14:paraId="7DBCD7B6" w14:textId="77777777" w:rsidR="00EB619E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2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50AC6032" w14:textId="77777777" w:rsidR="00EB619E" w:rsidRPr="003E33E2" w:rsidRDefault="00EB619E" w:rsidP="00EB619E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33A66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144BE6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3AB52E41" w14:textId="77777777" w:rsidTr="00EA4AB6">
        <w:trPr>
          <w:trHeight w:val="720"/>
        </w:trPr>
        <w:tc>
          <w:tcPr>
            <w:tcW w:w="10805" w:type="dxa"/>
            <w:gridSpan w:val="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810E1D9" w14:textId="77777777" w:rsidR="00EB619E" w:rsidRPr="003E33E2" w:rsidRDefault="00EB619E" w:rsidP="00EB619E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4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19E" w14:paraId="142C85B2" w14:textId="77777777" w:rsidTr="00EA4AB6">
        <w:trPr>
          <w:trHeight w:val="1152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BC4728" w14:textId="77777777" w:rsidR="00FB25A0" w:rsidRDefault="00FB25A0" w:rsidP="00FB25A0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Entertainment (dancing, live music, karaoke, contests, performances, etc.)</w:t>
            </w:r>
          </w:p>
          <w:p w14:paraId="7902B7AC" w14:textId="77777777" w:rsidR="0068022C" w:rsidRDefault="0068022C" w:rsidP="0068022C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entertainment to a service bar will increase the fee from $1,000 to $1,600.</w:t>
            </w:r>
          </w:p>
          <w:p w14:paraId="784D4222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9619A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9619AE">
                <w:rPr>
                  <w:rStyle w:val="Hyperlink"/>
                  <w:rFonts w:ascii="Arial" w:hAnsi="Arial" w:cs="Arial"/>
                  <w:sz w:val="20"/>
                  <w:szCs w:val="20"/>
                </w:rPr>
                <w:t>314-02-025(2)</w:t>
              </w:r>
            </w:hyperlink>
          </w:p>
          <w:p w14:paraId="46EF0DE9" w14:textId="77777777" w:rsidR="00EB619E" w:rsidRPr="009619A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619AE">
              <w:rPr>
                <w:rFonts w:ascii="Arial" w:hAnsi="Arial" w:cs="Arial"/>
                <w:b/>
                <w:i/>
                <w:sz w:val="18"/>
                <w:szCs w:val="18"/>
              </w:rPr>
              <w:t>Note:</w:t>
            </w:r>
            <w:r w:rsidRPr="009619AE">
              <w:rPr>
                <w:rFonts w:ascii="Arial" w:hAnsi="Arial" w:cs="Arial"/>
                <w:i/>
                <w:sz w:val="18"/>
                <w:szCs w:val="18"/>
              </w:rPr>
              <w:t xml:space="preserve">   If the activities and alcohol service to adults continues in the dining room or banquet room after 11:00 pm, persons under 21 years of age are prohibited from those areas beginning at 11:00 pm.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5BF56B59" w14:textId="77777777" w:rsidR="00EB619E" w:rsidRPr="00C26242" w:rsidRDefault="00EB619E" w:rsidP="00EB61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242F03" w14:textId="77777777" w:rsidR="00EB619E" w:rsidRPr="00C26242" w:rsidRDefault="00EB619E" w:rsidP="00EB61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:rsidRPr="003E33E2" w14:paraId="42B3ED82" w14:textId="77777777" w:rsidTr="00EA4AB6">
        <w:trPr>
          <w:trHeight w:val="432"/>
        </w:trPr>
        <w:tc>
          <w:tcPr>
            <w:tcW w:w="10805" w:type="dxa"/>
            <w:gridSpan w:val="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11BE08" w14:textId="77777777" w:rsidR="00EB619E" w:rsidRPr="003E33E2" w:rsidRDefault="00EB619E" w:rsidP="00EB619E">
            <w:pPr>
              <w:spacing w:before="40" w:after="4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describe what type(s) of entertainment 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in the space below:</w:t>
            </w:r>
          </w:p>
        </w:tc>
      </w:tr>
      <w:tr w:rsidR="00EB619E" w:rsidRPr="00A0588A" w14:paraId="4A00573E" w14:textId="77777777" w:rsidTr="00EA4AB6">
        <w:trPr>
          <w:trHeight w:hRule="exact" w:val="1584"/>
        </w:trPr>
        <w:tc>
          <w:tcPr>
            <w:tcW w:w="45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B5B56" w14:textId="77777777" w:rsidR="00EB619E" w:rsidRPr="00A0588A" w:rsidRDefault="00EB619E" w:rsidP="00EB619E">
            <w:pPr>
              <w:spacing w:before="40" w:after="4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DBB42E" w14:textId="77777777" w:rsidR="00EB619E" w:rsidRPr="00A0588A" w:rsidRDefault="00EB619E" w:rsidP="009841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9C1C8E" w14:textId="77777777" w:rsidR="00EB619E" w:rsidRPr="00A0588A" w:rsidRDefault="00EB619E" w:rsidP="00EB619E">
            <w:pPr>
              <w:spacing w:before="40" w:after="4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9E" w:rsidRPr="00A0588A" w14:paraId="7C960021" w14:textId="77777777" w:rsidTr="00EA4AB6">
        <w:trPr>
          <w:trHeight w:hRule="exact" w:val="115"/>
        </w:trPr>
        <w:tc>
          <w:tcPr>
            <w:tcW w:w="10805" w:type="dxa"/>
            <w:gridSpan w:val="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FAF55" w14:textId="77777777" w:rsidR="00EB619E" w:rsidRPr="00A0588A" w:rsidRDefault="00EB619E" w:rsidP="00EB619E">
            <w:pPr>
              <w:spacing w:before="40" w:after="4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9E" w14:paraId="55A1BCBB" w14:textId="77777777" w:rsidTr="00EA4AB6">
        <w:trPr>
          <w:trHeight w:val="1152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8FF14B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2A28951A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71ECCB87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The sale, service and consumption of alcoholic beverages are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48E604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ACF78E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035645C" w14:textId="77777777" w:rsidTr="00EA4AB6">
        <w:trPr>
          <w:trHeight w:val="1152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D229FA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Golf Course Service</w:t>
            </w:r>
          </w:p>
          <w:p w14:paraId="71A11FB4" w14:textId="77777777" w:rsidR="00EB619E" w:rsidRPr="008B606B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serve alcohol on the golf course.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Service may be from a building or golf cart.  People serving the alcohol must be 21 years of age or older.  You must own or have leasehold rights to the course area.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4A2BF5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8541AD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9EE776A" w14:textId="77777777" w:rsidTr="00EA4AB6">
        <w:trPr>
          <w:trHeight w:val="1152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580771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7B227B13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74D88002" w14:textId="77777777" w:rsidR="001035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>mus</w:t>
            </w:r>
            <w:r w:rsidR="004712D1">
              <w:rPr>
                <w:rFonts w:ascii="Arial" w:hAnsi="Arial" w:cs="Arial"/>
                <w:i/>
                <w:sz w:val="18"/>
                <w:szCs w:val="18"/>
              </w:rPr>
              <w:t>t be enclosed with 42”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 xml:space="preserve"> barriers such as ropes and stanchions, railings or fences.</w:t>
            </w:r>
          </w:p>
          <w:p w14:paraId="30B3D386" w14:textId="77777777" w:rsidR="0010359E" w:rsidRPr="0010359E" w:rsidRDefault="0010359E" w:rsidP="0010359E"/>
          <w:p w14:paraId="7DC68CD3" w14:textId="77777777" w:rsidR="00EB619E" w:rsidRPr="0010359E" w:rsidRDefault="00EB619E" w:rsidP="0010359E"/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156FFD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762821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04DA0152" w14:textId="77777777" w:rsidTr="00EA4AB6">
        <w:trPr>
          <w:trHeight w:val="864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682041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Self-dispensing Wine Machine</w:t>
            </w:r>
          </w:p>
          <w:p w14:paraId="41AA5C64" w14:textId="77777777" w:rsidR="00EB619E" w:rsidRDefault="00EB619E" w:rsidP="00EB619E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8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3FA74F0E" w14:textId="77777777" w:rsidR="008E539A" w:rsidRPr="008E539A" w:rsidRDefault="008E539A" w:rsidP="00EB619E">
            <w:pPr>
              <w:spacing w:before="40" w:after="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8E539A">
              <w:rPr>
                <w:rFonts w:ascii="Arial" w:hAnsi="Arial" w:cs="Arial"/>
                <w:i/>
                <w:sz w:val="18"/>
                <w:szCs w:val="18"/>
              </w:rPr>
              <w:t>Allows the use of self-dispensing wine machines.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90A70D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6564D5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34D98D72" w14:textId="77777777" w:rsidTr="00EA4AB6">
        <w:trPr>
          <w:trHeight w:val="864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715445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Self-service Beer Taps</w:t>
            </w:r>
          </w:p>
          <w:p w14:paraId="28BABEB9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9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1F338904" w14:textId="77777777" w:rsidR="008E539A" w:rsidRPr="008E539A" w:rsidRDefault="008E539A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E539A">
              <w:rPr>
                <w:rFonts w:ascii="Arial" w:hAnsi="Arial" w:cs="Arial"/>
                <w:i/>
                <w:sz w:val="18"/>
                <w:szCs w:val="18"/>
              </w:rPr>
              <w:t>Allows the use of self-service beer taps.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1C0EB6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6D0EB2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17DE3" w14:paraId="1BF641CD" w14:textId="77777777" w:rsidTr="00EA4AB6">
        <w:trPr>
          <w:trHeight w:val="864"/>
        </w:trPr>
        <w:tc>
          <w:tcPr>
            <w:tcW w:w="889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140C88" w14:textId="77777777" w:rsidR="00B17DE3" w:rsidRDefault="00B17DE3" w:rsidP="00B17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Soju </w:t>
            </w:r>
            <w:r w:rsidRPr="00B17DE3">
              <w:rPr>
                <w:rFonts w:ascii="Arial" w:hAnsi="Arial" w:cs="Arial"/>
                <w:sz w:val="20"/>
                <w:szCs w:val="20"/>
              </w:rPr>
              <w:t>– Requires “Soju” Added Endorsement ($50 yearly fee)</w:t>
            </w:r>
          </w:p>
          <w:p w14:paraId="31318723" w14:textId="77777777" w:rsidR="00B17DE3" w:rsidRDefault="00B17DE3" w:rsidP="00B17DE3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RCW </w:t>
            </w:r>
            <w:hyperlink r:id="rId20" w:history="1">
              <w:r w:rsidRPr="00B17DE3">
                <w:rPr>
                  <w:rStyle w:val="Hyperlink"/>
                  <w:rFonts w:ascii="Arial" w:hAnsi="Arial" w:cs="Arial"/>
                  <w:sz w:val="20"/>
                  <w:szCs w:val="20"/>
                </w:rPr>
                <w:t>66.04.010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(42)</w:t>
            </w:r>
            <w:r w:rsidRPr="00EB619E">
              <w:rPr>
                <w:rFonts w:ascii="Arial" w:hAnsi="Arial" w:cs="Arial"/>
                <w:sz w:val="20"/>
                <w:szCs w:val="20"/>
              </w:rPr>
              <w:t xml:space="preserve">, RCW </w:t>
            </w:r>
            <w:hyperlink r:id="rId21" w:history="1">
              <w:r w:rsidRPr="00B17DE3">
                <w:rPr>
                  <w:rStyle w:val="Hyperlink"/>
                  <w:rFonts w:ascii="Arial" w:hAnsi="Arial" w:cs="Arial"/>
                  <w:sz w:val="20"/>
                  <w:szCs w:val="20"/>
                </w:rPr>
                <w:t>66.24.400</w:t>
              </w:r>
            </w:hyperlink>
            <w:r w:rsidRPr="00EB619E">
              <w:rPr>
                <w:rFonts w:ascii="Arial" w:hAnsi="Arial" w:cs="Arial"/>
                <w:sz w:val="20"/>
                <w:szCs w:val="20"/>
              </w:rPr>
              <w:t>(5)</w:t>
            </w:r>
          </w:p>
          <w:p w14:paraId="541A195D" w14:textId="77777777" w:rsidR="00B17DE3" w:rsidRPr="00EB619E" w:rsidRDefault="00B17DE3" w:rsidP="00B17DE3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DE3">
              <w:rPr>
                <w:rFonts w:ascii="Arial" w:hAnsi="Arial" w:cs="Arial"/>
                <w:i/>
                <w:sz w:val="18"/>
                <w:szCs w:val="18"/>
              </w:rPr>
              <w:t>Allows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 service of Soju by the bottle for on-premises consumption to tables of two or more patrons.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4BE1DA" w14:textId="77777777" w:rsidR="00B17DE3" w:rsidRPr="00C26242" w:rsidRDefault="00B17DE3" w:rsidP="00B17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240C3C" w14:textId="77777777" w:rsidR="00B17DE3" w:rsidRPr="00C26242" w:rsidRDefault="00B17DE3" w:rsidP="00B17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</w:r>
            <w:r w:rsidR="007A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17DE3" w14:paraId="2DDB9C31" w14:textId="77777777" w:rsidTr="00EA4AB6">
        <w:trPr>
          <w:trHeight w:hRule="exact" w:val="432"/>
        </w:trPr>
        <w:tc>
          <w:tcPr>
            <w:tcW w:w="10805" w:type="dxa"/>
            <w:gridSpan w:val="8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470D72" w14:textId="77777777" w:rsidR="00B17DE3" w:rsidRPr="000B0FCF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75BA0C82" w14:textId="77777777" w:rsidTr="00EA4AB6">
        <w:trPr>
          <w:trHeight w:hRule="exact" w:val="346"/>
        </w:trPr>
        <w:tc>
          <w:tcPr>
            <w:tcW w:w="10805" w:type="dxa"/>
            <w:gridSpan w:val="8"/>
            <w:shd w:val="clear" w:color="auto" w:fill="F2F2F2" w:themeFill="background1" w:themeFillShade="F2"/>
            <w:vAlign w:val="center"/>
          </w:tcPr>
          <w:p w14:paraId="5D03CC1B" w14:textId="77777777" w:rsidR="00B17DE3" w:rsidRPr="00C26242" w:rsidRDefault="00B17DE3" w:rsidP="00B17DE3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B17DE3" w14:paraId="06D3606F" w14:textId="77777777" w:rsidTr="00EA4AB6">
        <w:trPr>
          <w:trHeight w:hRule="exact" w:val="115"/>
        </w:trPr>
        <w:tc>
          <w:tcPr>
            <w:tcW w:w="10805" w:type="dxa"/>
            <w:gridSpan w:val="8"/>
            <w:vAlign w:val="center"/>
          </w:tcPr>
          <w:p w14:paraId="7D7EDC39" w14:textId="77777777" w:rsidR="00B17DE3" w:rsidRPr="000E7F01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5AFCB77C" w14:textId="77777777" w:rsidTr="00EA4AB6">
        <w:trPr>
          <w:trHeight w:hRule="exact" w:val="432"/>
        </w:trPr>
        <w:tc>
          <w:tcPr>
            <w:tcW w:w="10805" w:type="dxa"/>
            <w:gridSpan w:val="8"/>
            <w:vAlign w:val="center"/>
          </w:tcPr>
          <w:p w14:paraId="76274130" w14:textId="77777777" w:rsidR="00B17DE3" w:rsidRPr="000E7F01" w:rsidRDefault="00B17DE3" w:rsidP="00B17DE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B17DE3" w14:paraId="3045CF2B" w14:textId="77777777" w:rsidTr="00EA4AB6">
        <w:trPr>
          <w:trHeight w:hRule="exact" w:val="144"/>
        </w:trPr>
        <w:tc>
          <w:tcPr>
            <w:tcW w:w="10805" w:type="dxa"/>
            <w:gridSpan w:val="8"/>
            <w:vAlign w:val="center"/>
          </w:tcPr>
          <w:p w14:paraId="2C18035D" w14:textId="77777777" w:rsidR="00B17DE3" w:rsidRPr="000E7F01" w:rsidRDefault="00B17DE3" w:rsidP="00B17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DE3" w14:paraId="025D17DA" w14:textId="77777777" w:rsidTr="00EA4AB6">
        <w:trPr>
          <w:trHeight w:hRule="exact" w:val="504"/>
        </w:trPr>
        <w:tc>
          <w:tcPr>
            <w:tcW w:w="533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2969EF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D1A9FA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729F7C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DE3" w14:paraId="3B958112" w14:textId="77777777" w:rsidTr="00EA4AB6">
        <w:trPr>
          <w:trHeight w:hRule="exact" w:val="216"/>
        </w:trPr>
        <w:tc>
          <w:tcPr>
            <w:tcW w:w="533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868C014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9DA918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shd w:val="clear" w:color="auto" w:fill="auto"/>
            <w:vAlign w:val="center"/>
          </w:tcPr>
          <w:p w14:paraId="3C6CF8E7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B17DE3" w14:paraId="6863B5A0" w14:textId="77777777" w:rsidTr="00EA4AB6">
        <w:trPr>
          <w:trHeight w:hRule="exact" w:val="504"/>
        </w:trPr>
        <w:tc>
          <w:tcPr>
            <w:tcW w:w="533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85707E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3993A0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E132B8" w14:textId="77777777" w:rsidR="00B17DE3" w:rsidRPr="00501862" w:rsidRDefault="00B17DE3" w:rsidP="00B17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DE3" w14:paraId="321E2FF7" w14:textId="77777777" w:rsidTr="00EA4AB6">
        <w:trPr>
          <w:trHeight w:hRule="exact" w:val="216"/>
        </w:trPr>
        <w:tc>
          <w:tcPr>
            <w:tcW w:w="533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43BB3D5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6EE420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63248C2" w14:textId="77777777" w:rsidR="00B17DE3" w:rsidRPr="008D7E33" w:rsidRDefault="00B17DE3" w:rsidP="00B17D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4B22E960" w14:textId="77777777" w:rsidR="00BB3B12" w:rsidRDefault="00BB3B12" w:rsidP="006A0EED">
      <w:pPr>
        <w:jc w:val="both"/>
      </w:pPr>
    </w:p>
    <w:sectPr w:rsidR="00BB3B12" w:rsidSect="00DC46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88A8" w14:textId="77777777" w:rsidR="0087785A" w:rsidRDefault="0087785A" w:rsidP="006E158C">
      <w:pPr>
        <w:spacing w:line="240" w:lineRule="auto"/>
      </w:pPr>
      <w:r>
        <w:separator/>
      </w:r>
    </w:p>
  </w:endnote>
  <w:endnote w:type="continuationSeparator" w:id="0">
    <w:p w14:paraId="76FEA5B1" w14:textId="77777777" w:rsidR="0087785A" w:rsidRDefault="0087785A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79BF" w14:textId="77777777" w:rsidR="0010359E" w:rsidRDefault="00103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7AE81100" w14:textId="77777777" w:rsidTr="006D7907">
      <w:trPr>
        <w:trHeight w:val="288"/>
      </w:trPr>
      <w:tc>
        <w:tcPr>
          <w:tcW w:w="4680" w:type="dxa"/>
          <w:vAlign w:val="center"/>
        </w:tcPr>
        <w:p w14:paraId="12CBF5FD" w14:textId="77777777" w:rsidR="005F5DD3" w:rsidRPr="00BB59C5" w:rsidRDefault="0072197F" w:rsidP="00D32F94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834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>
            <w:rPr>
              <w:rFonts w:ascii="Arial" w:hAnsi="Arial" w:cs="Arial"/>
              <w:sz w:val="16"/>
              <w:szCs w:val="16"/>
            </w:rPr>
            <w:t>– Spirit B</w:t>
          </w:r>
          <w:r w:rsidR="006D7907">
            <w:rPr>
              <w:rFonts w:ascii="Arial" w:hAnsi="Arial" w:cs="Arial"/>
              <w:sz w:val="16"/>
              <w:szCs w:val="16"/>
            </w:rPr>
            <w:t>eer Wine Restaurants</w:t>
          </w:r>
        </w:p>
      </w:tc>
      <w:tc>
        <w:tcPr>
          <w:tcW w:w="1530" w:type="dxa"/>
          <w:vAlign w:val="center"/>
        </w:tcPr>
        <w:p w14:paraId="35A8AF3F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226AC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226AC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2357D08A" w14:textId="77777777" w:rsidR="005F5DD3" w:rsidRPr="00BB59C5" w:rsidRDefault="0010359E" w:rsidP="0069247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69247F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/2022</w:t>
          </w:r>
        </w:p>
      </w:tc>
    </w:tr>
  </w:tbl>
  <w:p w14:paraId="33E12928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046D" w14:textId="77777777" w:rsidR="0010359E" w:rsidRDefault="0010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AFC" w14:textId="77777777" w:rsidR="0087785A" w:rsidRDefault="0087785A" w:rsidP="006E158C">
      <w:pPr>
        <w:spacing w:line="240" w:lineRule="auto"/>
      </w:pPr>
      <w:r>
        <w:separator/>
      </w:r>
    </w:p>
  </w:footnote>
  <w:footnote w:type="continuationSeparator" w:id="0">
    <w:p w14:paraId="0442CD3B" w14:textId="77777777" w:rsidR="0087785A" w:rsidRDefault="0087785A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904C" w14:textId="77777777" w:rsidR="0010359E" w:rsidRDefault="00103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C5FD" w14:textId="77777777" w:rsidR="0010359E" w:rsidRDefault="00103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F87A" w14:textId="77777777" w:rsidR="0010359E" w:rsidRDefault="00103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5474">
    <w:abstractNumId w:val="16"/>
  </w:num>
  <w:num w:numId="2" w16cid:durableId="1634555734">
    <w:abstractNumId w:val="8"/>
  </w:num>
  <w:num w:numId="3" w16cid:durableId="1450708945">
    <w:abstractNumId w:val="3"/>
  </w:num>
  <w:num w:numId="4" w16cid:durableId="1597790105">
    <w:abstractNumId w:val="6"/>
  </w:num>
  <w:num w:numId="5" w16cid:durableId="424226840">
    <w:abstractNumId w:val="15"/>
  </w:num>
  <w:num w:numId="6" w16cid:durableId="1507591222">
    <w:abstractNumId w:val="18"/>
  </w:num>
  <w:num w:numId="7" w16cid:durableId="744690008">
    <w:abstractNumId w:val="14"/>
  </w:num>
  <w:num w:numId="8" w16cid:durableId="726757808">
    <w:abstractNumId w:val="1"/>
  </w:num>
  <w:num w:numId="9" w16cid:durableId="1019745745">
    <w:abstractNumId w:val="7"/>
  </w:num>
  <w:num w:numId="10" w16cid:durableId="1771660787">
    <w:abstractNumId w:val="20"/>
  </w:num>
  <w:num w:numId="11" w16cid:durableId="1310405950">
    <w:abstractNumId w:val="5"/>
  </w:num>
  <w:num w:numId="12" w16cid:durableId="1491871024">
    <w:abstractNumId w:val="10"/>
  </w:num>
  <w:num w:numId="13" w16cid:durableId="432210560">
    <w:abstractNumId w:val="4"/>
  </w:num>
  <w:num w:numId="14" w16cid:durableId="189153198">
    <w:abstractNumId w:val="2"/>
  </w:num>
  <w:num w:numId="15" w16cid:durableId="726144532">
    <w:abstractNumId w:val="17"/>
  </w:num>
  <w:num w:numId="16" w16cid:durableId="756748882">
    <w:abstractNumId w:val="12"/>
  </w:num>
  <w:num w:numId="17" w16cid:durableId="474302841">
    <w:abstractNumId w:val="11"/>
  </w:num>
  <w:num w:numId="18" w16cid:durableId="28730016">
    <w:abstractNumId w:val="9"/>
  </w:num>
  <w:num w:numId="19" w16cid:durableId="362026465">
    <w:abstractNumId w:val="0"/>
  </w:num>
  <w:num w:numId="20" w16cid:durableId="71050611">
    <w:abstractNumId w:val="19"/>
  </w:num>
  <w:num w:numId="21" w16cid:durableId="135925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hev68TXveOViqR/IV99foufhKpUXlksDDUJ14UwbVw6ws/NCmyYGnCADs+53UN7ErMkelvK8Ecw06SRBFhVA==" w:salt="R2q9o95OBz24rz7unKhvJ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784B"/>
    <w:rsid w:val="00013B77"/>
    <w:rsid w:val="00013ECF"/>
    <w:rsid w:val="00050187"/>
    <w:rsid w:val="00053082"/>
    <w:rsid w:val="00057410"/>
    <w:rsid w:val="00057438"/>
    <w:rsid w:val="00070946"/>
    <w:rsid w:val="000861A9"/>
    <w:rsid w:val="00090A96"/>
    <w:rsid w:val="000A655F"/>
    <w:rsid w:val="000B0FCF"/>
    <w:rsid w:val="000B7D59"/>
    <w:rsid w:val="000E7F01"/>
    <w:rsid w:val="0010359E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D38A6"/>
    <w:rsid w:val="001D6E35"/>
    <w:rsid w:val="001E5EF1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30639C"/>
    <w:rsid w:val="00306A6D"/>
    <w:rsid w:val="003214BF"/>
    <w:rsid w:val="00347169"/>
    <w:rsid w:val="003558BB"/>
    <w:rsid w:val="00367764"/>
    <w:rsid w:val="003705BE"/>
    <w:rsid w:val="003B1716"/>
    <w:rsid w:val="003B456F"/>
    <w:rsid w:val="003E1207"/>
    <w:rsid w:val="003E33E2"/>
    <w:rsid w:val="003F668A"/>
    <w:rsid w:val="00413664"/>
    <w:rsid w:val="004435DB"/>
    <w:rsid w:val="00450767"/>
    <w:rsid w:val="004578E0"/>
    <w:rsid w:val="00467257"/>
    <w:rsid w:val="004712D1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0A71"/>
    <w:rsid w:val="00514864"/>
    <w:rsid w:val="0051748B"/>
    <w:rsid w:val="005354AC"/>
    <w:rsid w:val="00551CE5"/>
    <w:rsid w:val="005570AD"/>
    <w:rsid w:val="00564DCD"/>
    <w:rsid w:val="005665F7"/>
    <w:rsid w:val="00567924"/>
    <w:rsid w:val="00570CF6"/>
    <w:rsid w:val="00572405"/>
    <w:rsid w:val="00575B62"/>
    <w:rsid w:val="005B0893"/>
    <w:rsid w:val="005B6233"/>
    <w:rsid w:val="005C031E"/>
    <w:rsid w:val="005D7B15"/>
    <w:rsid w:val="005E316D"/>
    <w:rsid w:val="005F5DD3"/>
    <w:rsid w:val="00621C4B"/>
    <w:rsid w:val="00627C0C"/>
    <w:rsid w:val="00641C1D"/>
    <w:rsid w:val="00665BA4"/>
    <w:rsid w:val="00666A82"/>
    <w:rsid w:val="0067247F"/>
    <w:rsid w:val="0068022C"/>
    <w:rsid w:val="0069247F"/>
    <w:rsid w:val="006A0EED"/>
    <w:rsid w:val="006B40C8"/>
    <w:rsid w:val="006C2E5A"/>
    <w:rsid w:val="006C3749"/>
    <w:rsid w:val="006D7907"/>
    <w:rsid w:val="006E158C"/>
    <w:rsid w:val="006E4DC9"/>
    <w:rsid w:val="0072197F"/>
    <w:rsid w:val="007226AC"/>
    <w:rsid w:val="00722914"/>
    <w:rsid w:val="00753C48"/>
    <w:rsid w:val="007909C5"/>
    <w:rsid w:val="007A5429"/>
    <w:rsid w:val="007A7F61"/>
    <w:rsid w:val="007B7F48"/>
    <w:rsid w:val="007C17B2"/>
    <w:rsid w:val="007C4793"/>
    <w:rsid w:val="007C4AB9"/>
    <w:rsid w:val="007D2391"/>
    <w:rsid w:val="007D5EF0"/>
    <w:rsid w:val="007E1ACC"/>
    <w:rsid w:val="0084509C"/>
    <w:rsid w:val="008454BB"/>
    <w:rsid w:val="00853DFD"/>
    <w:rsid w:val="0087785A"/>
    <w:rsid w:val="00882FEE"/>
    <w:rsid w:val="00885ED9"/>
    <w:rsid w:val="008A3FA8"/>
    <w:rsid w:val="008B606B"/>
    <w:rsid w:val="008D16F7"/>
    <w:rsid w:val="008D34BE"/>
    <w:rsid w:val="008D7E33"/>
    <w:rsid w:val="008E539A"/>
    <w:rsid w:val="00961086"/>
    <w:rsid w:val="009613B5"/>
    <w:rsid w:val="009619AE"/>
    <w:rsid w:val="00976911"/>
    <w:rsid w:val="00984142"/>
    <w:rsid w:val="00986013"/>
    <w:rsid w:val="009933AC"/>
    <w:rsid w:val="009E3D54"/>
    <w:rsid w:val="009E4C14"/>
    <w:rsid w:val="009E5CFA"/>
    <w:rsid w:val="009F2D28"/>
    <w:rsid w:val="00A04BED"/>
    <w:rsid w:val="00A0588A"/>
    <w:rsid w:val="00A47956"/>
    <w:rsid w:val="00A811E3"/>
    <w:rsid w:val="00A811E8"/>
    <w:rsid w:val="00AA2413"/>
    <w:rsid w:val="00AD1DB6"/>
    <w:rsid w:val="00AF1183"/>
    <w:rsid w:val="00B05C49"/>
    <w:rsid w:val="00B17DE3"/>
    <w:rsid w:val="00B25D26"/>
    <w:rsid w:val="00B34BD6"/>
    <w:rsid w:val="00B3559D"/>
    <w:rsid w:val="00B368CB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A1250"/>
    <w:rsid w:val="00CA33F5"/>
    <w:rsid w:val="00CC7E00"/>
    <w:rsid w:val="00CD10C3"/>
    <w:rsid w:val="00CD1C12"/>
    <w:rsid w:val="00D24921"/>
    <w:rsid w:val="00D32F94"/>
    <w:rsid w:val="00D42FDE"/>
    <w:rsid w:val="00D43B0B"/>
    <w:rsid w:val="00D566D6"/>
    <w:rsid w:val="00D9628D"/>
    <w:rsid w:val="00DA355F"/>
    <w:rsid w:val="00DB55E8"/>
    <w:rsid w:val="00DC46C1"/>
    <w:rsid w:val="00DF0B34"/>
    <w:rsid w:val="00E14812"/>
    <w:rsid w:val="00E25C51"/>
    <w:rsid w:val="00E2780D"/>
    <w:rsid w:val="00E4126E"/>
    <w:rsid w:val="00E55ED9"/>
    <w:rsid w:val="00E659E5"/>
    <w:rsid w:val="00E67859"/>
    <w:rsid w:val="00EA0203"/>
    <w:rsid w:val="00EA4AB6"/>
    <w:rsid w:val="00EB35A4"/>
    <w:rsid w:val="00EB619E"/>
    <w:rsid w:val="00EE0A8C"/>
    <w:rsid w:val="00F019E4"/>
    <w:rsid w:val="00F23A22"/>
    <w:rsid w:val="00F412B7"/>
    <w:rsid w:val="00F56B6B"/>
    <w:rsid w:val="00F61BE0"/>
    <w:rsid w:val="00F62D22"/>
    <w:rsid w:val="00F62EC3"/>
    <w:rsid w:val="00F64C8C"/>
    <w:rsid w:val="00F85303"/>
    <w:rsid w:val="00F86B90"/>
    <w:rsid w:val="00FB25A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57460B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://www.lcb.wa.gov" TargetMode="External"/><Relationship Id="rId18" Type="http://schemas.openxmlformats.org/officeDocument/2006/relationships/hyperlink" Target="https://apps.leg.wa.gov/wac/default.aspx?cite=314-12-08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app.leg.wa.gov/RCW/default.aspx?cite=66.24.4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pps.leg.wa.gov/wac/default.aspx?cite=314-02-104" TargetMode="External"/><Relationship Id="rId17" Type="http://schemas.openxmlformats.org/officeDocument/2006/relationships/hyperlink" Target="https://apps.leg.wa.gov/wac/default.aspx?cite=314-03-20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11-070" TargetMode="External"/><Relationship Id="rId20" Type="http://schemas.openxmlformats.org/officeDocument/2006/relationships/hyperlink" Target="https://app.leg.wa.gov/RCW/default.aspx?cite=66.04.0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2-02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pp.leg.wa.gov/RCW/default.aspx?cite=66.24.455" TargetMode="External"/><Relationship Id="rId19" Type="http://schemas.openxmlformats.org/officeDocument/2006/relationships/hyperlink" Target="https://apps.leg.wa.gov/wac/default.aspx?cite=314-12-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b.wa.gov" TargetMode="External"/><Relationship Id="rId14" Type="http://schemas.openxmlformats.org/officeDocument/2006/relationships/hyperlink" Target="https://lcb.wa.gov/node/583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2020-01-17T21:13:00Z</cp:lastPrinted>
  <dcterms:created xsi:type="dcterms:W3CDTF">2022-06-02T20:29:00Z</dcterms:created>
  <dcterms:modified xsi:type="dcterms:W3CDTF">2023-11-01T15:22:00Z</dcterms:modified>
</cp:coreProperties>
</file>